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AAB1" w14:textId="77777777" w:rsidR="00522BD2" w:rsidRPr="00522BD2" w:rsidRDefault="00522BD2" w:rsidP="00C729FA">
      <w:pPr>
        <w:pStyle w:val="Balk2"/>
        <w:jc w:val="center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F4804C4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08EBC373" w14:textId="267B1807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>
        <w:tab/>
        <w:t xml:space="preserve">: </w:t>
      </w:r>
      <w:r w:rsidR="00C729FA">
        <w:t xml:space="preserve">Dr. Doğukan ALGAN </w:t>
      </w:r>
    </w:p>
    <w:p w14:paraId="57B5CA00" w14:textId="5C6FF24D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C729FA">
        <w:t xml:space="preserve">Ada Kent Üniversitesi Hukuk Fakültesi </w:t>
      </w:r>
    </w:p>
    <w:p w14:paraId="741336D1" w14:textId="42007A8B"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 xml:space="preserve">: </w:t>
      </w:r>
      <w:r w:rsidR="00C729FA">
        <w:t xml:space="preserve">554 98 98 117 </w:t>
      </w:r>
    </w:p>
    <w:p w14:paraId="202AE172" w14:textId="35FF7214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r w:rsidR="00C729FA">
        <w:t>algan@turkelalgan.com</w:t>
      </w:r>
    </w:p>
    <w:p w14:paraId="28178D16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2A8C4116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61A9B664" w14:textId="3FE7D689" w:rsidR="00BA1DEB" w:rsidRDefault="00BA1DEB" w:rsidP="00C729FA">
      <w:pPr>
        <w:pStyle w:val="ListeParagraf"/>
        <w:numPr>
          <w:ilvl w:val="0"/>
          <w:numId w:val="23"/>
        </w:numPr>
        <w:tabs>
          <w:tab w:val="clear" w:pos="851"/>
          <w:tab w:val="left" w:pos="709"/>
        </w:tabs>
        <w:ind w:left="2977" w:hanging="2617"/>
      </w:pPr>
      <w:r>
        <w:t>Tez adı</w:t>
      </w:r>
      <w:r w:rsidR="004F7A00">
        <w:tab/>
      </w:r>
      <w:r>
        <w:t>:</w:t>
      </w:r>
      <w:r w:rsidR="00D9512D">
        <w:t xml:space="preserve"> </w:t>
      </w:r>
      <w:r w:rsidR="00C729FA">
        <w:t xml:space="preserve">Anonim Ortaklık Genel Kurul Kararının Yürütmesinin     </w:t>
      </w:r>
      <w:proofErr w:type="gramStart"/>
      <w:r w:rsidR="00C729FA">
        <w:t xml:space="preserve">   (</w:t>
      </w:r>
      <w:proofErr w:type="gramEnd"/>
      <w:r w:rsidR="00C729FA">
        <w:t xml:space="preserve">Tedbiren) Geri Bırakılması (TTK m. 449) </w:t>
      </w:r>
      <w:r>
        <w:t>(</w:t>
      </w:r>
      <w:r w:rsidR="00D9512D">
        <w:t>Yıl</w:t>
      </w:r>
      <w:r w:rsidR="00C729FA">
        <w:t>: 2018</w:t>
      </w:r>
      <w:r>
        <w:t>)</w:t>
      </w:r>
    </w:p>
    <w:p w14:paraId="46C70C85" w14:textId="2738F351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C729FA">
        <w:t>Prof. Dr. Muhammet ÖZEKES</w:t>
      </w:r>
    </w:p>
    <w:p w14:paraId="5D381D43" w14:textId="64312EE5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Tamamlan</w:t>
      </w:r>
      <w:r w:rsidR="00C729FA">
        <w:t>dı</w:t>
      </w:r>
    </w:p>
    <w:p w14:paraId="4CC7701A" w14:textId="74BC8C9A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C729FA">
        <w:t>Dokuz Eylül Üniversitesi Sosyal Bilimler Enstitüsü</w:t>
      </w:r>
    </w:p>
    <w:p w14:paraId="1A246A57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2105DBB" w14:textId="795B9C86" w:rsidR="00D9512D" w:rsidRDefault="00D9512D" w:rsidP="00C729FA">
      <w:pPr>
        <w:pStyle w:val="ListeParagraf"/>
        <w:numPr>
          <w:ilvl w:val="0"/>
          <w:numId w:val="23"/>
        </w:numPr>
        <w:ind w:left="2835" w:hanging="2475"/>
      </w:pPr>
      <w:r>
        <w:t>Tez adı</w:t>
      </w:r>
      <w:r w:rsidR="00C729FA">
        <w:tab/>
      </w:r>
      <w:r>
        <w:t xml:space="preserve">: </w:t>
      </w:r>
      <w:r w:rsidR="00C729FA">
        <w:t xml:space="preserve">Medenî </w:t>
      </w:r>
      <w:proofErr w:type="spellStart"/>
      <w:r w:rsidR="00C729FA">
        <w:t>Usûl</w:t>
      </w:r>
      <w:proofErr w:type="spellEnd"/>
      <w:r w:rsidR="00C729FA">
        <w:t xml:space="preserve"> Hukukunda Sürpriz Karar Verme Yasağı    </w:t>
      </w:r>
      <w:r>
        <w:t>(Yıl</w:t>
      </w:r>
      <w:r w:rsidR="00C729FA">
        <w:t>: 2025</w:t>
      </w:r>
      <w:r>
        <w:t>)</w:t>
      </w:r>
    </w:p>
    <w:p w14:paraId="48E88568" w14:textId="5A8FD40E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C729FA">
        <w:t xml:space="preserve">Prof. Dr. Muhammet ÖZEKES </w:t>
      </w:r>
    </w:p>
    <w:p w14:paraId="1B52C2A6" w14:textId="2A03BB48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Tamamlandı</w:t>
      </w:r>
    </w:p>
    <w:p w14:paraId="510218F2" w14:textId="51E606F2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C729FA">
        <w:t>Dokuz Eylül Üniversitesi Sosyal Bilimler Enstitüsü</w:t>
      </w:r>
    </w:p>
    <w:p w14:paraId="3D7BAC5B" w14:textId="77777777"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D58D" w14:textId="77777777" w:rsidR="009D4803" w:rsidRDefault="009D4803" w:rsidP="00EE74CE">
      <w:pPr>
        <w:spacing w:after="0" w:line="240" w:lineRule="auto"/>
      </w:pPr>
      <w:r>
        <w:separator/>
      </w:r>
    </w:p>
  </w:endnote>
  <w:endnote w:type="continuationSeparator" w:id="0">
    <w:p w14:paraId="7349E5FF" w14:textId="77777777" w:rsidR="009D4803" w:rsidRDefault="009D480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920B" w14:textId="77777777" w:rsidR="009D4803" w:rsidRDefault="009D4803" w:rsidP="00EE74CE">
      <w:pPr>
        <w:spacing w:after="0" w:line="240" w:lineRule="auto"/>
      </w:pPr>
      <w:r>
        <w:separator/>
      </w:r>
    </w:p>
  </w:footnote>
  <w:footnote w:type="continuationSeparator" w:id="0">
    <w:p w14:paraId="21418434" w14:textId="77777777" w:rsidR="009D4803" w:rsidRDefault="009D480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972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76F806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8A0A08" wp14:editId="4FAFAF58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4B9CB36C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440339542">
    <w:abstractNumId w:val="0"/>
  </w:num>
  <w:num w:numId="2" w16cid:durableId="1263758076">
    <w:abstractNumId w:val="4"/>
  </w:num>
  <w:num w:numId="3" w16cid:durableId="528177211">
    <w:abstractNumId w:val="2"/>
  </w:num>
  <w:num w:numId="4" w16cid:durableId="1704358366">
    <w:abstractNumId w:val="0"/>
  </w:num>
  <w:num w:numId="5" w16cid:durableId="1466701134">
    <w:abstractNumId w:val="2"/>
  </w:num>
  <w:num w:numId="6" w16cid:durableId="1167327533">
    <w:abstractNumId w:val="0"/>
  </w:num>
  <w:num w:numId="7" w16cid:durableId="552274800">
    <w:abstractNumId w:val="4"/>
  </w:num>
  <w:num w:numId="8" w16cid:durableId="1861433599">
    <w:abstractNumId w:val="2"/>
  </w:num>
  <w:num w:numId="9" w16cid:durableId="446706672">
    <w:abstractNumId w:val="0"/>
  </w:num>
  <w:num w:numId="10" w16cid:durableId="1873221413">
    <w:abstractNumId w:val="2"/>
  </w:num>
  <w:num w:numId="11" w16cid:durableId="1536234562">
    <w:abstractNumId w:val="0"/>
  </w:num>
  <w:num w:numId="12" w16cid:durableId="1022629630">
    <w:abstractNumId w:val="2"/>
  </w:num>
  <w:num w:numId="13" w16cid:durableId="1705982357">
    <w:abstractNumId w:val="0"/>
  </w:num>
  <w:num w:numId="14" w16cid:durableId="994646183">
    <w:abstractNumId w:val="2"/>
  </w:num>
  <w:num w:numId="15" w16cid:durableId="1363944416">
    <w:abstractNumId w:val="0"/>
  </w:num>
  <w:num w:numId="16" w16cid:durableId="547837546">
    <w:abstractNumId w:val="4"/>
  </w:num>
  <w:num w:numId="17" w16cid:durableId="50004441">
    <w:abstractNumId w:val="2"/>
  </w:num>
  <w:num w:numId="18" w16cid:durableId="1519738686">
    <w:abstractNumId w:val="0"/>
  </w:num>
  <w:num w:numId="19" w16cid:durableId="1507550889">
    <w:abstractNumId w:val="4"/>
  </w:num>
  <w:num w:numId="20" w16cid:durableId="1193693657">
    <w:abstractNumId w:val="2"/>
  </w:num>
  <w:num w:numId="21" w16cid:durableId="2014650196">
    <w:abstractNumId w:val="5"/>
  </w:num>
  <w:num w:numId="22" w16cid:durableId="1635867364">
    <w:abstractNumId w:val="1"/>
  </w:num>
  <w:num w:numId="23" w16cid:durableId="3947438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50B2E"/>
    <w:rsid w:val="006D39F4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480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729FA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C12F7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Doğukan Algan</cp:lastModifiedBy>
  <cp:revision>2</cp:revision>
  <cp:lastPrinted>2015-10-06T13:23:00Z</cp:lastPrinted>
  <dcterms:created xsi:type="dcterms:W3CDTF">2025-08-06T18:34:00Z</dcterms:created>
  <dcterms:modified xsi:type="dcterms:W3CDTF">2025-08-06T18:34:00Z</dcterms:modified>
</cp:coreProperties>
</file>